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Załącznik do Zarządzenia Burmistrza Miasta Chojnowa Nr </w:t>
      </w:r>
      <w:r w:rsidR="006946BC">
        <w:rPr>
          <w:rFonts w:ascii="Times New Roman" w:eastAsia="Calibri" w:hAnsi="Times New Roman" w:cs="Times New Roman"/>
          <w:sz w:val="21"/>
          <w:szCs w:val="21"/>
        </w:rPr>
        <w:t>132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/2022 z dnia 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              </w:t>
      </w:r>
      <w:r w:rsidR="006946BC">
        <w:rPr>
          <w:rFonts w:ascii="Times New Roman" w:eastAsia="Calibri" w:hAnsi="Times New Roman" w:cs="Times New Roman"/>
          <w:sz w:val="21"/>
          <w:szCs w:val="21"/>
        </w:rPr>
        <w:t>10 sierpnia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2022 r. w sprawie prze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Pr="000D6D54">
        <w:rPr>
          <w:rFonts w:ascii="Times New Roman" w:eastAsia="Calibri" w:hAnsi="Times New Roman" w:cs="Times New Roman"/>
          <w:sz w:val="21"/>
          <w:szCs w:val="21"/>
        </w:rPr>
        <w:t>bezprzetargowej lokali 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Chojnów, mieszczących się w budynkach położonych przy</w:t>
      </w:r>
      <w:r w:rsidRPr="000D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6BC">
        <w:rPr>
          <w:rFonts w:ascii="Times New Roman" w:eastAsia="Calibri" w:hAnsi="Times New Roman" w:cs="Times New Roman"/>
          <w:sz w:val="21"/>
          <w:szCs w:val="21"/>
        </w:rPr>
        <w:t xml:space="preserve">ul. </w:t>
      </w:r>
      <w:r w:rsidR="006946BC" w:rsidRPr="006946BC">
        <w:rPr>
          <w:rFonts w:ascii="Times New Roman" w:eastAsia="Calibri" w:hAnsi="Times New Roman" w:cs="Times New Roman"/>
          <w:sz w:val="21"/>
          <w:szCs w:val="21"/>
        </w:rPr>
        <w:t>J. Dąbrowskiego 22, ul. M. Drzymały 6-16 (w klatce nr 16), ul. Komuny Paryskiej 11, pl. Konstytucji 3 Maja 3 oraz ul. M. Reja 4</w:t>
      </w:r>
      <w:r w:rsidR="006946BC" w:rsidRPr="0069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D54">
        <w:rPr>
          <w:rFonts w:ascii="Times New Roman" w:eastAsia="Calibri" w:hAnsi="Times New Roman" w:cs="Times New Roman"/>
          <w:sz w:val="21"/>
          <w:szCs w:val="21"/>
        </w:rPr>
        <w:t>w</w:t>
      </w:r>
      <w:r w:rsidRPr="000D6D54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Chojnowie 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7"/>
        <w:gridCol w:w="1560"/>
        <w:gridCol w:w="2693"/>
        <w:gridCol w:w="2410"/>
        <w:gridCol w:w="1559"/>
        <w:gridCol w:w="1559"/>
      </w:tblGrid>
      <w:tr w:rsidR="000D6D54" w:rsidRPr="000D6D54" w:rsidTr="006946BC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6946BC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6946BC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J. Dąbrowskiego 22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48/5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/00044532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764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cztery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+ pomieszczenie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piwnica nr 1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mieszkaniowej wielorodzinnej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91,4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227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6D54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M. Drzymały 6-16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12</w:t>
            </w:r>
          </w:p>
          <w:p w:rsidR="006946BC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16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209/31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0D6D54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00025357/5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3673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kuchnia, łazienka z wc,                             + pomieszczenie przynależne – piwnica                nr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102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,;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21F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45,0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156 100</w:t>
            </w:r>
            <w:r w:rsidR="000D6D54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0D6D54" w:rsidRPr="000D6D54" w:rsidTr="006946BC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Komuny Paryskiej 11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288/1 i 288/6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0D6D54" w:rsidP="007762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00034349/2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189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24/10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7762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 w:rsidR="007B4AEA"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+ pomieszczenie przynależne – piwnica nr 4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III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21F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wielorodzinnej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77621F">
              <w:rPr>
                <w:rFonts w:ascii="Times New Roman" w:eastAsia="Times New Roman" w:hAnsi="Times New Roman" w:cs="Times New Roman"/>
                <w:lang w:eastAsia="pl-PL"/>
              </w:rPr>
              <w:t>i jednorodzinnej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B4AE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7621F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177 700</w:t>
            </w:r>
            <w:r w:rsidR="000D6D54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1E28F6" w:rsidRPr="000D6D54" w:rsidTr="006946BC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8F6" w:rsidRPr="000D6D54" w:rsidRDefault="000E12BD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E28F6" w:rsidRPr="000D6D54" w:rsidRDefault="0077621F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pl. Konstytucji 3 Maja 3</w:t>
            </w:r>
          </w:p>
          <w:p w:rsidR="001E28F6" w:rsidRPr="000D6D54" w:rsidRDefault="0077621F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3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451/2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1E28F6" w:rsidRPr="000D6D54" w:rsidRDefault="001E28F6" w:rsidP="007762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77621F">
              <w:rPr>
                <w:rFonts w:ascii="Times New Roman" w:eastAsia="Times New Roman" w:hAnsi="Times New Roman" w:cs="Times New Roman"/>
                <w:lang w:eastAsia="pl-PL"/>
              </w:rPr>
              <w:t>00045470/9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77621F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312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1E28F6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1E28F6" w:rsidRPr="000D6D54" w:rsidRDefault="0077621F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1E28F6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7C2" w:rsidRDefault="004627C2" w:rsidP="004627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 w:rsidR="001E28F6">
              <w:rPr>
                <w:rFonts w:ascii="Times New Roman" w:eastAsia="Times New Roman" w:hAnsi="Times New Roman" w:cs="Times New Roman"/>
                <w:lang w:eastAsia="pl-PL"/>
              </w:rPr>
              <w:t xml:space="preserve"> wc, </w:t>
            </w:r>
          </w:p>
          <w:p w:rsidR="001E28F6" w:rsidRPr="000D6D54" w:rsidRDefault="00D24176" w:rsidP="004627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+  pomieszczenia przynależne – komórka nr 1, </w:t>
            </w:r>
            <w:r w:rsidR="004627C2">
              <w:rPr>
                <w:rFonts w:ascii="Times New Roman" w:eastAsia="Times New Roman" w:hAnsi="Times New Roman" w:cs="Times New Roman"/>
                <w:lang w:eastAsia="pl-PL"/>
              </w:rPr>
              <w:t>piwnica nr 4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4627C2">
              <w:rPr>
                <w:rFonts w:ascii="Times New Roman" w:eastAsia="Times New Roman" w:hAnsi="Times New Roman" w:cs="Times New Roman"/>
                <w:lang w:eastAsia="pl-PL"/>
              </w:rPr>
              <w:t>(I piętro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4627C2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27C2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D24176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D24176" w:rsidRPr="00D241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zagospodarowanie zgodnie z zapisem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4627C2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D24176" w:rsidRDefault="004627C2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4,14</w:t>
            </w:r>
          </w:p>
          <w:p w:rsidR="004627C2" w:rsidRPr="000D6D54" w:rsidRDefault="004627C2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4627C2" w:rsidP="000526BE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65 9</w:t>
            </w:r>
            <w:r w:rsidR="001E28F6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F61013" w:rsidRPr="000D6D54" w:rsidTr="00F61013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M. Reja 4</w:t>
            </w: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 nr 1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321/5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F61013" w:rsidRPr="000D6D54" w:rsidRDefault="00F61013" w:rsidP="00F610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00027558/8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F61013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864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F6101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F61013" w:rsidRPr="00F61013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1013">
              <w:rPr>
                <w:rFonts w:ascii="Times New Roman" w:eastAsia="Times New Roman" w:hAnsi="Times New Roman" w:cs="Times New Roman"/>
                <w:lang w:eastAsia="pl-PL"/>
              </w:rPr>
              <w:t>-----------</w:t>
            </w: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1583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cztery 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3C0F">
              <w:rPr>
                <w:rFonts w:ascii="Times New Roman" w:eastAsia="Times New Roman" w:hAnsi="Times New Roman" w:cs="Times New Roman"/>
                <w:lang w:eastAsia="pl-PL"/>
              </w:rPr>
              <w:t xml:space="preserve">łazienka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wc,</w:t>
            </w:r>
            <w:r w:rsidR="00653C0F">
              <w:rPr>
                <w:rFonts w:ascii="Times New Roman" w:eastAsia="Times New Roman" w:hAnsi="Times New Roman" w:cs="Times New Roman"/>
                <w:lang w:eastAsia="pl-PL"/>
              </w:rPr>
              <w:t xml:space="preserve"> pomieszczenie pomocnicze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F61013" w:rsidRPr="000D6D54" w:rsidRDefault="00F61013" w:rsidP="00653C0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+  pomieszczenia przynależne – </w:t>
            </w:r>
            <w:r w:rsidR="00653C0F">
              <w:rPr>
                <w:rFonts w:ascii="Times New Roman" w:eastAsia="Times New Roman" w:hAnsi="Times New Roman" w:cs="Times New Roman"/>
                <w:lang w:eastAsia="pl-PL"/>
              </w:rPr>
              <w:t>piwnica nr 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3C0F">
              <w:rPr>
                <w:rFonts w:ascii="Times New Roman" w:eastAsia="Times New Roman" w:hAnsi="Times New Roman" w:cs="Times New Roman"/>
                <w:lang w:eastAsia="pl-PL"/>
              </w:rPr>
              <w:t>piwnica nr 13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0D6D54" w:rsidRDefault="00F61013" w:rsidP="00653C0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27C2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</w:t>
            </w:r>
            <w:r w:rsidR="00653C0F">
              <w:rPr>
                <w:rFonts w:ascii="Times New Roman" w:eastAsia="Times New Roman" w:hAnsi="Times New Roman" w:cs="Times New Roman"/>
                <w:lang w:eastAsia="pl-PL"/>
              </w:rPr>
              <w:t>jednorodzinnej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D241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0D6D54" w:rsidRDefault="00653C0F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="00F61013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  <w:p w:rsidR="00F61013" w:rsidRPr="000D6D54" w:rsidRDefault="00F61013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F61013" w:rsidRDefault="00653C0F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13,60</w:t>
            </w:r>
          </w:p>
          <w:p w:rsidR="00F61013" w:rsidRPr="000D6D54" w:rsidRDefault="00653C0F" w:rsidP="00C16D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013" w:rsidRPr="000D6D54" w:rsidRDefault="00653C0F" w:rsidP="00C16DF5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226 000</w:t>
            </w:r>
            <w:r w:rsidR="00F61013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653C0F">
        <w:rPr>
          <w:rFonts w:ascii="Times New Roman" w:eastAsia="Calibri" w:hAnsi="Times New Roman" w:cs="Times New Roman"/>
        </w:rPr>
        <w:t xml:space="preserve"> do dnia 25.05</w:t>
      </w:r>
      <w:r w:rsidRPr="000D6D54">
        <w:rPr>
          <w:rFonts w:ascii="Times New Roman" w:eastAsia="Calibri" w:hAnsi="Times New Roman" w:cs="Times New Roman"/>
        </w:rPr>
        <w:t>.2023 r</w:t>
      </w:r>
      <w:r w:rsidR="00653C0F">
        <w:rPr>
          <w:rFonts w:ascii="Times New Roman" w:eastAsia="Calibri" w:hAnsi="Times New Roman" w:cs="Times New Roman"/>
        </w:rPr>
        <w:t>.,  dla Lp. 2 do dnia 19.05</w:t>
      </w:r>
      <w:r w:rsidRPr="000D6D54">
        <w:rPr>
          <w:rFonts w:ascii="Times New Roman" w:eastAsia="Calibri" w:hAnsi="Times New Roman" w:cs="Times New Roman"/>
        </w:rPr>
        <w:t>.2023 r., dla L</w:t>
      </w:r>
      <w:r w:rsidR="00E60574">
        <w:rPr>
          <w:rFonts w:ascii="Times New Roman" w:eastAsia="Calibri" w:hAnsi="Times New Roman" w:cs="Times New Roman"/>
        </w:rPr>
        <w:t xml:space="preserve">p. 3 do dnia </w:t>
      </w:r>
      <w:r w:rsidR="00653C0F">
        <w:rPr>
          <w:rFonts w:ascii="Times New Roman" w:eastAsia="Calibri" w:hAnsi="Times New Roman" w:cs="Times New Roman"/>
        </w:rPr>
        <w:t>27.05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E60574">
        <w:rPr>
          <w:rFonts w:ascii="Times New Roman" w:eastAsia="Calibri" w:hAnsi="Times New Roman" w:cs="Times New Roman"/>
        </w:rPr>
        <w:t xml:space="preserve">., dla Lp. 4 do dnia </w:t>
      </w:r>
      <w:r w:rsidR="00653C0F">
        <w:rPr>
          <w:rFonts w:ascii="Times New Roman" w:eastAsia="Calibri" w:hAnsi="Times New Roman" w:cs="Times New Roman"/>
        </w:rPr>
        <w:t>25.03</w:t>
      </w:r>
      <w:r w:rsidR="00E60574">
        <w:rPr>
          <w:rFonts w:ascii="Times New Roman" w:eastAsia="Calibri" w:hAnsi="Times New Roman" w:cs="Times New Roman"/>
        </w:rPr>
        <w:t>.2023 r.</w:t>
      </w:r>
      <w:r w:rsidR="00653C0F">
        <w:rPr>
          <w:rFonts w:ascii="Times New Roman" w:eastAsia="Calibri" w:hAnsi="Times New Roman" w:cs="Times New Roman"/>
        </w:rPr>
        <w:t>, dla Lp. 5 do dnia 17.06.2023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653C0F">
        <w:rPr>
          <w:rFonts w:ascii="Times New Roman" w:eastAsia="Calibri" w:hAnsi="Times New Roman" w:cs="Times New Roman"/>
        </w:rPr>
        <w:t xml:space="preserve"> od dnia 12.08.2022 r. do dnia 02.09</w:t>
      </w:r>
      <w:r w:rsidRPr="000D6D54">
        <w:rPr>
          <w:rFonts w:ascii="Times New Roman" w:eastAsia="Calibri" w:hAnsi="Times New Roman" w:cs="Times New Roman"/>
        </w:rPr>
        <w:t>.2022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653C0F">
        <w:rPr>
          <w:rFonts w:ascii="Times New Roman" w:eastAsia="Calibri" w:hAnsi="Times New Roman" w:cs="Times New Roman"/>
        </w:rPr>
        <w:t>a wykazu, tj. do dnia 23.09</w:t>
      </w:r>
      <w:bookmarkStart w:id="0" w:name="_GoBack"/>
      <w:bookmarkEnd w:id="0"/>
      <w:r w:rsidRPr="000D6D54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653C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653C0F">
    <w:pPr>
      <w:pStyle w:val="Stopka"/>
    </w:pPr>
  </w:p>
  <w:p w:rsidR="00A035C2" w:rsidRPr="007C480A" w:rsidRDefault="00653C0F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D6D54"/>
    <w:rsid w:val="000E12BD"/>
    <w:rsid w:val="001D402E"/>
    <w:rsid w:val="001E28F6"/>
    <w:rsid w:val="001F36D5"/>
    <w:rsid w:val="002941E6"/>
    <w:rsid w:val="003639F9"/>
    <w:rsid w:val="004627C2"/>
    <w:rsid w:val="005815F2"/>
    <w:rsid w:val="00646559"/>
    <w:rsid w:val="00653C0F"/>
    <w:rsid w:val="006946BC"/>
    <w:rsid w:val="0077621F"/>
    <w:rsid w:val="007B4AEA"/>
    <w:rsid w:val="009002F8"/>
    <w:rsid w:val="00984180"/>
    <w:rsid w:val="00CD36E3"/>
    <w:rsid w:val="00D24176"/>
    <w:rsid w:val="00E6057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2022-07-08T07:42:00Z</cp:lastPrinted>
  <dcterms:created xsi:type="dcterms:W3CDTF">2022-08-10T08:26:00Z</dcterms:created>
  <dcterms:modified xsi:type="dcterms:W3CDTF">2022-08-10T08:26:00Z</dcterms:modified>
</cp:coreProperties>
</file>